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80482"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80482"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80482"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80482"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55E22713"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352C06" w:rsidRPr="00352C06">
        <w:rPr>
          <w:rFonts w:asciiTheme="minorHAnsi" w:eastAsia="Calibri" w:hAnsiTheme="minorHAnsi" w:cstheme="minorHAnsi"/>
          <w:b/>
          <w:bCs/>
          <w:color w:val="000000" w:themeColor="text1"/>
          <w:sz w:val="22"/>
          <w:szCs w:val="22"/>
        </w:rPr>
        <w:t>”</w:t>
      </w:r>
      <w:r w:rsidR="00352C06" w:rsidRPr="00352C06">
        <w:rPr>
          <w:rFonts w:asciiTheme="minorHAnsi" w:eastAsia="Calibri" w:hAnsiTheme="minorHAnsi" w:cstheme="minorHAnsi"/>
          <w:b/>
          <w:bCs/>
          <w:color w:val="000000" w:themeColor="text1"/>
          <w:sz w:val="22"/>
          <w:szCs w:val="22"/>
        </w:rPr>
        <w:t>SISTEMI</w:t>
      </w:r>
      <w:proofErr w:type="gramEnd"/>
      <w:r w:rsidR="00352C06" w:rsidRPr="00352C06">
        <w:rPr>
          <w:rFonts w:asciiTheme="minorHAnsi" w:eastAsia="Calibri" w:hAnsiTheme="minorHAnsi" w:cstheme="minorHAnsi"/>
          <w:b/>
          <w:bCs/>
          <w:color w:val="000000" w:themeColor="text1"/>
          <w:sz w:val="22"/>
          <w:szCs w:val="22"/>
        </w:rPr>
        <w:t xml:space="preserve"> OPERATIVI</w:t>
      </w:r>
      <w:r w:rsidR="000C6DB4" w:rsidRPr="00352C06">
        <w:rPr>
          <w:rFonts w:asciiTheme="minorHAnsi" w:eastAsia="Calibri" w:hAnsiTheme="minorHAnsi" w:cstheme="minorHAnsi"/>
          <w:b/>
          <w:bCs/>
          <w:color w:val="000000" w:themeColor="text1"/>
          <w:sz w:val="22"/>
          <w:szCs w:val="22"/>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21507062"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352C06">
        <w:rPr>
          <w:rFonts w:asciiTheme="minorHAnsi" w:eastAsia="Calibri" w:hAnsiTheme="minorHAnsi" w:cstheme="minorHAnsi"/>
          <w:b/>
          <w:bCs/>
          <w:color w:val="000000" w:themeColor="text1"/>
          <w:sz w:val="22"/>
          <w:szCs w:val="22"/>
        </w:rPr>
        <w:t>7</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92567" w:rsidRPr="00273096" w14:paraId="1EE006B7" w14:textId="77777777" w:rsidTr="00B45C96">
        <w:tc>
          <w:tcPr>
            <w:tcW w:w="461" w:type="dxa"/>
          </w:tcPr>
          <w:p w14:paraId="6BE276E9" w14:textId="491C4DC4" w:rsidR="00B92567" w:rsidRPr="00273096" w:rsidRDefault="00B92567" w:rsidP="00B9256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0302E6D0"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16893D31"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59B17C13" w14:textId="77777777" w:rsidTr="00B45C96">
        <w:tc>
          <w:tcPr>
            <w:tcW w:w="461" w:type="dxa"/>
          </w:tcPr>
          <w:p w14:paraId="136E60B1" w14:textId="13029D13" w:rsidR="00B92567" w:rsidRPr="00273096" w:rsidRDefault="00B92567" w:rsidP="00B9256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735AE77C"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A8C0BE8" w14:textId="2DEB452C"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5065FEF2" w14:textId="77777777" w:rsidTr="00B45C96">
        <w:tc>
          <w:tcPr>
            <w:tcW w:w="461" w:type="dxa"/>
          </w:tcPr>
          <w:p w14:paraId="07D226F5" w14:textId="41FF0CD2"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0DF1DE3C"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4C8A4C5" w14:textId="521432B1"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2FC5B6E9" w14:textId="77777777" w:rsidTr="00B45C96">
        <w:tc>
          <w:tcPr>
            <w:tcW w:w="461" w:type="dxa"/>
          </w:tcPr>
          <w:p w14:paraId="1FAF382B" w14:textId="439850AB"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C8754A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521CA3D3" w14:textId="098356D3"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5B3212B5" w14:textId="77777777" w:rsidTr="00B45C96">
        <w:tc>
          <w:tcPr>
            <w:tcW w:w="461" w:type="dxa"/>
          </w:tcPr>
          <w:p w14:paraId="468FBF92" w14:textId="53D2D890"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3B5254D" w14:textId="0EA693E1"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2764A59C" w14:textId="2783CD32"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304400B8" w14:textId="77777777" w:rsidTr="00B45C96">
        <w:tc>
          <w:tcPr>
            <w:tcW w:w="461" w:type="dxa"/>
          </w:tcPr>
          <w:p w14:paraId="05D4C841" w14:textId="5ACAF36A"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F1322D4" w14:textId="0663C252"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695" w:type="dxa"/>
            <w:tcBorders>
              <w:top w:val="single" w:sz="4" w:space="0" w:color="auto"/>
              <w:left w:val="single" w:sz="4" w:space="0" w:color="auto"/>
              <w:bottom w:val="single" w:sz="4" w:space="0" w:color="auto"/>
              <w:right w:val="single" w:sz="4" w:space="0" w:color="auto"/>
            </w:tcBorders>
          </w:tcPr>
          <w:p w14:paraId="2C2C0837" w14:textId="3C227E62"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0FD36B71" w14:textId="77777777" w:rsidTr="00B45C96">
        <w:tc>
          <w:tcPr>
            <w:tcW w:w="461" w:type="dxa"/>
          </w:tcPr>
          <w:p w14:paraId="236AD0F6" w14:textId="36E900F3"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3DF452F" w14:textId="12575118"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695" w:type="dxa"/>
            <w:tcBorders>
              <w:top w:val="single" w:sz="4" w:space="0" w:color="auto"/>
              <w:left w:val="single" w:sz="4" w:space="0" w:color="auto"/>
              <w:bottom w:val="single" w:sz="4" w:space="0" w:color="auto"/>
              <w:right w:val="single" w:sz="4" w:space="0" w:color="auto"/>
            </w:tcBorders>
          </w:tcPr>
          <w:p w14:paraId="376DF16B" w14:textId="3ACEB0E1"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92567" w:rsidRPr="00273096" w14:paraId="31151AE4" w14:textId="77777777" w:rsidTr="00193BB7">
        <w:tc>
          <w:tcPr>
            <w:tcW w:w="461" w:type="dxa"/>
          </w:tcPr>
          <w:p w14:paraId="11BF1183" w14:textId="72AA50D7" w:rsidR="00B92567" w:rsidRPr="00273096" w:rsidRDefault="00B92567" w:rsidP="00B9256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2309AE31"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6A1BB865"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3A998CAF" w14:textId="77777777" w:rsidTr="00193BB7">
        <w:tc>
          <w:tcPr>
            <w:tcW w:w="461" w:type="dxa"/>
          </w:tcPr>
          <w:p w14:paraId="11B56DAE" w14:textId="2EA7A508" w:rsidR="00B92567" w:rsidRPr="00273096" w:rsidRDefault="00B92567" w:rsidP="00B9256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321E0BB"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57E5541" w14:textId="1CF79B94"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5D397707" w14:textId="77777777" w:rsidTr="00193BB7">
        <w:tc>
          <w:tcPr>
            <w:tcW w:w="461" w:type="dxa"/>
          </w:tcPr>
          <w:p w14:paraId="2FB6E8E5" w14:textId="5849C64D"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17C86839"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35FCC9E" w14:textId="565CB9FD"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647FCE54" w14:textId="77777777" w:rsidTr="00193BB7">
        <w:tc>
          <w:tcPr>
            <w:tcW w:w="461" w:type="dxa"/>
          </w:tcPr>
          <w:p w14:paraId="00983923" w14:textId="52C30ED5"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0D9A0A73"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D3B3C28" w14:textId="46A41B2D"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30825563" w14:textId="77777777" w:rsidTr="00193BB7">
        <w:tc>
          <w:tcPr>
            <w:tcW w:w="461" w:type="dxa"/>
          </w:tcPr>
          <w:p w14:paraId="04C669DF" w14:textId="20B379EC"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AD836E6" w14:textId="20590DC8"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3BEF9CF" w14:textId="13726A3B"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05796A6E" w14:textId="77777777" w:rsidTr="00193BB7">
        <w:tc>
          <w:tcPr>
            <w:tcW w:w="461" w:type="dxa"/>
          </w:tcPr>
          <w:p w14:paraId="41608A51" w14:textId="2762123B"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FA709E9" w14:textId="78622F22"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789" w:type="dxa"/>
            <w:tcBorders>
              <w:top w:val="single" w:sz="4" w:space="0" w:color="auto"/>
              <w:left w:val="single" w:sz="4" w:space="0" w:color="auto"/>
              <w:bottom w:val="single" w:sz="4" w:space="0" w:color="auto"/>
              <w:right w:val="single" w:sz="4" w:space="0" w:color="auto"/>
            </w:tcBorders>
          </w:tcPr>
          <w:p w14:paraId="36340A3C" w14:textId="69B7130D"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0A8A130B" w14:textId="77777777" w:rsidTr="00193BB7">
        <w:tc>
          <w:tcPr>
            <w:tcW w:w="461" w:type="dxa"/>
          </w:tcPr>
          <w:p w14:paraId="2E9CCCCF" w14:textId="2F62C28C"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069FA23" w14:textId="7ACE531E"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789" w:type="dxa"/>
            <w:tcBorders>
              <w:top w:val="single" w:sz="4" w:space="0" w:color="auto"/>
              <w:left w:val="single" w:sz="4" w:space="0" w:color="auto"/>
              <w:bottom w:val="single" w:sz="4" w:space="0" w:color="auto"/>
              <w:right w:val="single" w:sz="4" w:space="0" w:color="auto"/>
            </w:tcBorders>
          </w:tcPr>
          <w:p w14:paraId="0CAE01DC" w14:textId="58579311" w:rsidR="00B92567" w:rsidRPr="00C7740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92567" w:rsidRPr="00273096" w14:paraId="4F496DC4" w14:textId="77777777" w:rsidTr="00D2686D">
        <w:tc>
          <w:tcPr>
            <w:tcW w:w="461" w:type="dxa"/>
          </w:tcPr>
          <w:p w14:paraId="00759373" w14:textId="56F1AA89" w:rsidR="00B92567" w:rsidRPr="00273096" w:rsidRDefault="00B92567" w:rsidP="00B9256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724382CD"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03312A26"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27E8CB09" w14:textId="77777777" w:rsidTr="00D2686D">
        <w:tc>
          <w:tcPr>
            <w:tcW w:w="461" w:type="dxa"/>
          </w:tcPr>
          <w:p w14:paraId="4F04E2C0" w14:textId="5203C870" w:rsidR="00B92567" w:rsidRPr="00273096" w:rsidRDefault="00B92567" w:rsidP="00B9256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448AD7F4"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C3AD420" w14:textId="0D0B0BAB"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009ABF5E" w14:textId="77777777" w:rsidTr="00D2686D">
        <w:tc>
          <w:tcPr>
            <w:tcW w:w="461" w:type="dxa"/>
          </w:tcPr>
          <w:p w14:paraId="28C1D20A" w14:textId="43ADB7ED"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13BA5BC3"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70547A7" w14:textId="2BCA8DDB"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19125ED5" w14:textId="77777777" w:rsidTr="00D2686D">
        <w:tc>
          <w:tcPr>
            <w:tcW w:w="461" w:type="dxa"/>
          </w:tcPr>
          <w:p w14:paraId="4BAC29A0" w14:textId="5E6E0ECC"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4635AF4E"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D553657" w14:textId="6D1D7EA2"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0A1C2B3E" w14:textId="77777777" w:rsidTr="00D2686D">
        <w:tc>
          <w:tcPr>
            <w:tcW w:w="461" w:type="dxa"/>
          </w:tcPr>
          <w:p w14:paraId="157B2A99" w14:textId="1F900FE7"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1DF737" w14:textId="74BEDEE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5A1C555" w14:textId="597ABA95"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796E8BE3" w14:textId="77777777" w:rsidTr="00D2686D">
        <w:tc>
          <w:tcPr>
            <w:tcW w:w="461" w:type="dxa"/>
          </w:tcPr>
          <w:p w14:paraId="7E0F1D52" w14:textId="5454BE78"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4E4D072" w14:textId="521BE15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789" w:type="dxa"/>
            <w:tcBorders>
              <w:top w:val="single" w:sz="4" w:space="0" w:color="auto"/>
              <w:left w:val="single" w:sz="4" w:space="0" w:color="auto"/>
              <w:bottom w:val="single" w:sz="4" w:space="0" w:color="auto"/>
              <w:right w:val="single" w:sz="4" w:space="0" w:color="auto"/>
            </w:tcBorders>
          </w:tcPr>
          <w:p w14:paraId="791D706A" w14:textId="12A118C8"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17CEA712" w14:textId="77777777" w:rsidTr="00D2686D">
        <w:tc>
          <w:tcPr>
            <w:tcW w:w="461" w:type="dxa"/>
          </w:tcPr>
          <w:p w14:paraId="1E3DDEDA" w14:textId="49407763"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69B1455" w14:textId="4930FCC9"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789" w:type="dxa"/>
            <w:tcBorders>
              <w:top w:val="single" w:sz="4" w:space="0" w:color="auto"/>
              <w:left w:val="single" w:sz="4" w:space="0" w:color="auto"/>
              <w:bottom w:val="single" w:sz="4" w:space="0" w:color="auto"/>
              <w:right w:val="single" w:sz="4" w:space="0" w:color="auto"/>
            </w:tcBorders>
          </w:tcPr>
          <w:p w14:paraId="4667D121" w14:textId="775E9377"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92567" w:rsidRPr="00273096" w14:paraId="49E47CED" w14:textId="77777777" w:rsidTr="00C40BA4">
        <w:tc>
          <w:tcPr>
            <w:tcW w:w="461" w:type="dxa"/>
          </w:tcPr>
          <w:p w14:paraId="55D8520B" w14:textId="0F522CD0" w:rsidR="00B92567" w:rsidRPr="00273096" w:rsidRDefault="00B92567" w:rsidP="00B9256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04D66C43"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0284E23A"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389B970A" w14:textId="77777777" w:rsidTr="00C40BA4">
        <w:tc>
          <w:tcPr>
            <w:tcW w:w="461" w:type="dxa"/>
          </w:tcPr>
          <w:p w14:paraId="5D997373" w14:textId="544197C3" w:rsidR="00B92567" w:rsidRPr="00273096" w:rsidRDefault="00B92567" w:rsidP="00B9256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771B669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57D726E" w14:textId="28FCF451"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03FDB755" w14:textId="77777777" w:rsidTr="00C40BA4">
        <w:tc>
          <w:tcPr>
            <w:tcW w:w="461" w:type="dxa"/>
          </w:tcPr>
          <w:p w14:paraId="43FE337F" w14:textId="1E2BBC6B"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7A8EA238"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EDCB44C" w14:textId="041CD532"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2DB00A55" w14:textId="77777777" w:rsidTr="00C40BA4">
        <w:tc>
          <w:tcPr>
            <w:tcW w:w="461" w:type="dxa"/>
          </w:tcPr>
          <w:p w14:paraId="376EE4B0" w14:textId="6179FA2B"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6D5A49D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917B60E" w14:textId="3AF7C0BC" w:rsidR="00B92567" w:rsidRPr="00273096" w:rsidRDefault="00B92567" w:rsidP="00B9256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25067EB0" w14:textId="77777777" w:rsidTr="00C40BA4">
        <w:tc>
          <w:tcPr>
            <w:tcW w:w="461" w:type="dxa"/>
          </w:tcPr>
          <w:p w14:paraId="3574D546" w14:textId="4DA9B32E"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E26B259" w14:textId="024BBF1C"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D94EAF5" w14:textId="2EEF4F05"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69BCF4F1" w14:textId="77777777" w:rsidTr="00C40BA4">
        <w:tc>
          <w:tcPr>
            <w:tcW w:w="461" w:type="dxa"/>
          </w:tcPr>
          <w:p w14:paraId="26A872C8" w14:textId="2DB72EFD"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74817EF" w14:textId="679264EB"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288" w:type="dxa"/>
            <w:tcBorders>
              <w:top w:val="single" w:sz="4" w:space="0" w:color="auto"/>
              <w:left w:val="single" w:sz="4" w:space="0" w:color="auto"/>
              <w:bottom w:val="single" w:sz="4" w:space="0" w:color="auto"/>
              <w:right w:val="single" w:sz="4" w:space="0" w:color="auto"/>
            </w:tcBorders>
          </w:tcPr>
          <w:p w14:paraId="13CAE4EC" w14:textId="7636705F"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6AAB1678" w14:textId="77777777" w:rsidTr="00C40BA4">
        <w:tc>
          <w:tcPr>
            <w:tcW w:w="461" w:type="dxa"/>
          </w:tcPr>
          <w:p w14:paraId="300DE128" w14:textId="2181E706"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F8397CA" w14:textId="0F88840F"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288" w:type="dxa"/>
            <w:tcBorders>
              <w:top w:val="single" w:sz="4" w:space="0" w:color="auto"/>
              <w:left w:val="single" w:sz="4" w:space="0" w:color="auto"/>
              <w:bottom w:val="single" w:sz="4" w:space="0" w:color="auto"/>
              <w:right w:val="single" w:sz="4" w:space="0" w:color="auto"/>
            </w:tcBorders>
          </w:tcPr>
          <w:p w14:paraId="1662E2FF" w14:textId="033EF3BE" w:rsidR="00B92567" w:rsidRPr="00786FC9" w:rsidRDefault="00B92567" w:rsidP="00B9256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92567" w:rsidRPr="00273096" w14:paraId="2F57FF96" w14:textId="77777777" w:rsidTr="00F06A23">
        <w:tc>
          <w:tcPr>
            <w:tcW w:w="461" w:type="dxa"/>
          </w:tcPr>
          <w:p w14:paraId="4DCCAEE0" w14:textId="7C376312" w:rsidR="00B92567" w:rsidRPr="00273096" w:rsidRDefault="00B92567" w:rsidP="00B9256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09561862"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5075E667" w:rsidR="00B92567" w:rsidRPr="00273096" w:rsidRDefault="00B92567"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5804E0AF" w14:textId="77777777" w:rsidTr="00F06A23">
        <w:tc>
          <w:tcPr>
            <w:tcW w:w="461" w:type="dxa"/>
          </w:tcPr>
          <w:p w14:paraId="5DF4DCE1" w14:textId="7AA3B8D9" w:rsidR="00B92567" w:rsidRPr="00273096" w:rsidRDefault="00B92567" w:rsidP="00B9256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2F00A546"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8177C36" w14:textId="656115A7" w:rsidR="00B92567" w:rsidRPr="00273096" w:rsidRDefault="00B92567"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B92567" w:rsidRPr="00273096" w14:paraId="6E3E4085" w14:textId="77777777" w:rsidTr="00F06A23">
        <w:tc>
          <w:tcPr>
            <w:tcW w:w="461" w:type="dxa"/>
          </w:tcPr>
          <w:p w14:paraId="4E2C74D6" w14:textId="0844A53F"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02E69A71"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5404905" w14:textId="4994BAFD" w:rsidR="00B92567" w:rsidRPr="00273096" w:rsidRDefault="00B92567"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3C5D30A4" w14:textId="77777777" w:rsidTr="00F06A23">
        <w:tc>
          <w:tcPr>
            <w:tcW w:w="461" w:type="dxa"/>
          </w:tcPr>
          <w:p w14:paraId="653E2A3F" w14:textId="61C0B499"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192DB085" w:rsidR="00B92567" w:rsidRPr="00273096" w:rsidRDefault="00B92567" w:rsidP="00B9256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C8CB087" w14:textId="1EE8BCD7" w:rsidR="00B92567" w:rsidRPr="00273096" w:rsidRDefault="00B92567"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92567" w:rsidRPr="00273096" w14:paraId="21B2FF91" w14:textId="77777777" w:rsidTr="00F06A23">
        <w:tc>
          <w:tcPr>
            <w:tcW w:w="461" w:type="dxa"/>
          </w:tcPr>
          <w:p w14:paraId="4EA1AB1F" w14:textId="61A152C7"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B2E970F" w14:textId="04F191DC"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3565E946" w14:textId="4275582C" w:rsidR="00B92567" w:rsidRPr="00786FC9" w:rsidRDefault="00B92567"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69FEF399" w14:textId="77777777" w:rsidTr="00F06A23">
        <w:tc>
          <w:tcPr>
            <w:tcW w:w="461" w:type="dxa"/>
          </w:tcPr>
          <w:p w14:paraId="10828E26" w14:textId="2AC4731E"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94132E" w14:textId="4D81054A"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288" w:type="dxa"/>
            <w:tcBorders>
              <w:top w:val="single" w:sz="4" w:space="0" w:color="auto"/>
              <w:left w:val="single" w:sz="4" w:space="0" w:color="auto"/>
              <w:bottom w:val="single" w:sz="4" w:space="0" w:color="auto"/>
              <w:right w:val="single" w:sz="4" w:space="0" w:color="auto"/>
            </w:tcBorders>
          </w:tcPr>
          <w:p w14:paraId="7AB0C192" w14:textId="69B4B4FB" w:rsidR="00B92567" w:rsidRPr="00786FC9" w:rsidRDefault="00B92567"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92567" w:rsidRPr="00273096" w14:paraId="398D3EEF" w14:textId="77777777" w:rsidTr="00F06A23">
        <w:tc>
          <w:tcPr>
            <w:tcW w:w="461" w:type="dxa"/>
          </w:tcPr>
          <w:p w14:paraId="5AA887A8" w14:textId="548FFDDD" w:rsidR="00B92567" w:rsidRPr="00273096" w:rsidRDefault="00B92567" w:rsidP="00B9256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E691552" w14:textId="330AEAB7" w:rsidR="00B92567" w:rsidRPr="00273096" w:rsidRDefault="00B92567" w:rsidP="00B9256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288" w:type="dxa"/>
            <w:tcBorders>
              <w:top w:val="single" w:sz="4" w:space="0" w:color="auto"/>
              <w:left w:val="single" w:sz="4" w:space="0" w:color="auto"/>
              <w:bottom w:val="single" w:sz="4" w:space="0" w:color="auto"/>
              <w:right w:val="single" w:sz="4" w:space="0" w:color="auto"/>
            </w:tcBorders>
          </w:tcPr>
          <w:p w14:paraId="7063A3BB" w14:textId="44DB49BE" w:rsidR="00B92567" w:rsidRPr="00786FC9" w:rsidRDefault="00B92567"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80482" w:rsidRPr="00273096" w14:paraId="3D0BB44D" w14:textId="77777777" w:rsidTr="00CB4199">
        <w:tc>
          <w:tcPr>
            <w:tcW w:w="461" w:type="dxa"/>
          </w:tcPr>
          <w:p w14:paraId="4B6A983B" w14:textId="31C8BCFE" w:rsidR="00E80482" w:rsidRPr="00273096" w:rsidRDefault="00E80482" w:rsidP="00E8048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16C83E53" w:rsidR="00E80482" w:rsidRPr="00273096" w:rsidRDefault="00E80482" w:rsidP="00E80482">
            <w:pPr>
              <w:pStyle w:val="NormaleWeb"/>
              <w:spacing w:before="60" w:beforeAutospacing="0" w:after="60" w:afterAutospacing="0"/>
              <w:jc w:val="both"/>
              <w:rPr>
                <w:rFonts w:asciiTheme="minorHAnsi" w:hAnsiTheme="minorHAnsi" w:cstheme="minorHAnsi"/>
                <w:sz w:val="20"/>
                <w:szCs w:val="20"/>
                <w:highlight w:val="green"/>
              </w:rPr>
            </w:pPr>
            <w:r w:rsidRPr="00E11EAF">
              <w:rPr>
                <w:rFonts w:asciiTheme="minorHAnsi" w:hAnsiTheme="minorHAnsi" w:cstheme="minorHAnsi"/>
                <w:sz w:val="20"/>
                <w:szCs w:val="20"/>
              </w:rPr>
              <w:t xml:space="preserve">1. OS </w:t>
            </w:r>
            <w:r>
              <w:rPr>
                <w:rFonts w:asciiTheme="minorHAnsi" w:hAnsiTheme="minorHAnsi" w:cstheme="minorHAnsi"/>
                <w:sz w:val="20"/>
                <w:szCs w:val="20"/>
              </w:rPr>
              <w:t>–</w:t>
            </w:r>
            <w:r w:rsidRPr="00E11EAF">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E11EAF">
              <w:rPr>
                <w:rFonts w:asciiTheme="minorHAnsi" w:hAnsiTheme="minorHAnsi" w:cstheme="minorHAnsi"/>
                <w:sz w:val="20"/>
                <w:szCs w:val="20"/>
              </w:rPr>
              <w:t xml:space="preserve">- 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2B883F5E" w:rsidR="00E80482" w:rsidRPr="00273096" w:rsidRDefault="00E80482"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E80482" w:rsidRPr="00273096" w14:paraId="603D78A2" w14:textId="77777777" w:rsidTr="00CB4199">
        <w:tc>
          <w:tcPr>
            <w:tcW w:w="461" w:type="dxa"/>
          </w:tcPr>
          <w:p w14:paraId="0510CFE8" w14:textId="3479F90E" w:rsidR="00E80482" w:rsidRPr="00273096" w:rsidRDefault="00E80482" w:rsidP="00E8048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2DA851D8" w:rsidR="00E80482" w:rsidRPr="00273096" w:rsidRDefault="00E80482" w:rsidP="00E8048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342DC">
              <w:rPr>
                <w:rFonts w:asciiTheme="minorHAnsi" w:hAnsiTheme="minorHAnsi" w:cstheme="minorHAnsi"/>
                <w:sz w:val="20"/>
                <w:szCs w:val="20"/>
              </w:rPr>
              <w:t xml:space="preserve">OS </w:t>
            </w:r>
            <w:r>
              <w:rPr>
                <w:rFonts w:asciiTheme="minorHAnsi" w:hAnsiTheme="minorHAnsi" w:cstheme="minorHAnsi"/>
                <w:sz w:val="20"/>
                <w:szCs w:val="20"/>
              </w:rPr>
              <w:t>–</w:t>
            </w:r>
            <w:r w:rsidRPr="00C342DC">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E11EAF">
              <w:rPr>
                <w:rFonts w:asciiTheme="minorHAnsi" w:hAnsiTheme="minorHAnsi" w:cstheme="minorHAnsi"/>
                <w:sz w:val="20"/>
                <w:szCs w:val="20"/>
              </w:rPr>
              <w:t xml:space="preserve">Percorso </w:t>
            </w:r>
            <w:r>
              <w:rPr>
                <w:rFonts w:asciiTheme="minorHAnsi" w:hAnsiTheme="minorHAnsi" w:cstheme="minorHAnsi"/>
                <w:sz w:val="20"/>
                <w:szCs w:val="20"/>
              </w:rPr>
              <w:t xml:space="preserve">Formativo </w:t>
            </w:r>
            <w:r w:rsidRPr="00BA1A4B">
              <w:rPr>
                <w:rFonts w:asciiTheme="minorHAnsi" w:hAnsiTheme="minorHAnsi" w:cstheme="minorHAnsi"/>
                <w:sz w:val="20"/>
                <w:szCs w:val="20"/>
              </w:rPr>
              <w:t xml:space="preserve">Cloud Security </w:t>
            </w:r>
            <w:proofErr w:type="spellStart"/>
            <w:r w:rsidRPr="00BA1A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6AAB60" w14:textId="38021077" w:rsidR="00E80482" w:rsidRPr="00273096" w:rsidRDefault="00E80482"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E80482" w:rsidRPr="00273096" w14:paraId="5B378C88" w14:textId="77777777" w:rsidTr="00CB4199">
        <w:tc>
          <w:tcPr>
            <w:tcW w:w="461" w:type="dxa"/>
          </w:tcPr>
          <w:p w14:paraId="3149DB3C" w14:textId="712DB7C3" w:rsidR="00E80482" w:rsidRPr="00273096" w:rsidRDefault="00E80482" w:rsidP="00E8048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6259AD12" w:rsidR="00E80482" w:rsidRPr="00273096" w:rsidRDefault="00E80482" w:rsidP="00E8048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0440A">
              <w:rPr>
                <w:rFonts w:asciiTheme="minorHAnsi" w:hAnsiTheme="minorHAnsi" w:cstheme="minorHAnsi"/>
                <w:sz w:val="20"/>
                <w:szCs w:val="20"/>
              </w:rPr>
              <w:t>Linux server</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BECEC71" w14:textId="41E9DD8A" w:rsidR="00E80482" w:rsidRPr="00273096" w:rsidRDefault="00E80482"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E80482" w:rsidRPr="00273096" w14:paraId="01B8386D" w14:textId="77777777" w:rsidTr="00CB4199">
        <w:tc>
          <w:tcPr>
            <w:tcW w:w="461" w:type="dxa"/>
          </w:tcPr>
          <w:p w14:paraId="7D17234E" w14:textId="3A828587" w:rsidR="00E80482" w:rsidRPr="00273096" w:rsidRDefault="00E80482" w:rsidP="00E8048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676BDA0C" w:rsidR="00E80482" w:rsidRPr="00273096" w:rsidRDefault="00E80482" w:rsidP="00E8048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630263">
              <w:rPr>
                <w:rFonts w:asciiTheme="minorHAnsi" w:hAnsiTheme="minorHAnsi" w:cstheme="minorHAnsi"/>
                <w:sz w:val="20"/>
                <w:szCs w:val="20"/>
              </w:rPr>
              <w:t xml:space="preserve">OS </w:t>
            </w:r>
            <w:r>
              <w:rPr>
                <w:rFonts w:asciiTheme="minorHAnsi" w:hAnsiTheme="minorHAnsi" w:cstheme="minorHAnsi"/>
                <w:sz w:val="20"/>
                <w:szCs w:val="20"/>
              </w:rPr>
              <w:t>–</w:t>
            </w:r>
            <w:r w:rsidRPr="00630263">
              <w:rPr>
                <w:rFonts w:asciiTheme="minorHAnsi" w:hAnsiTheme="minorHAnsi" w:cstheme="minorHAnsi"/>
                <w:sz w:val="20"/>
                <w:szCs w:val="20"/>
              </w:rPr>
              <w:t xml:space="preserve"> Linux</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668E8D0" w14:textId="17FB1390" w:rsidR="00E80482" w:rsidRPr="00273096" w:rsidRDefault="00E80482" w:rsidP="00E8048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E80482" w:rsidRPr="00273096" w14:paraId="5CB971D3" w14:textId="77777777" w:rsidTr="00CB4199">
        <w:tc>
          <w:tcPr>
            <w:tcW w:w="461" w:type="dxa"/>
          </w:tcPr>
          <w:p w14:paraId="42E94626" w14:textId="162A2965" w:rsidR="00E80482" w:rsidRPr="00273096" w:rsidRDefault="00E80482" w:rsidP="00E8048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350A82" w14:textId="6A82D65D" w:rsidR="00E80482" w:rsidRPr="00273096" w:rsidRDefault="00E80482" w:rsidP="00E8048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A26C8D">
              <w:rPr>
                <w:rFonts w:asciiTheme="minorHAnsi" w:hAnsiTheme="minorHAnsi" w:cstheme="minorHAnsi"/>
                <w:sz w:val="20"/>
                <w:szCs w:val="20"/>
              </w:rPr>
              <w:t xml:space="preserve">OS </w:t>
            </w:r>
            <w:r>
              <w:rPr>
                <w:rFonts w:asciiTheme="minorHAnsi" w:hAnsiTheme="minorHAnsi" w:cstheme="minorHAnsi"/>
                <w:sz w:val="20"/>
                <w:szCs w:val="20"/>
              </w:rPr>
              <w:t>–</w:t>
            </w:r>
            <w:r w:rsidRPr="00A26C8D">
              <w:rPr>
                <w:rFonts w:asciiTheme="minorHAnsi" w:hAnsiTheme="minorHAnsi" w:cstheme="minorHAnsi"/>
                <w:sz w:val="20"/>
                <w:szCs w:val="20"/>
              </w:rPr>
              <w:t xml:space="preserve"> Windows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3E1E36">
              <w:rPr>
                <w:rFonts w:asciiTheme="minorHAnsi" w:hAnsiTheme="minorHAnsi" w:cstheme="minorHAnsi"/>
                <w:sz w:val="20"/>
                <w:szCs w:val="20"/>
              </w:rPr>
              <w:t xml:space="preserve">Cyber Security </w:t>
            </w:r>
            <w:proofErr w:type="spellStart"/>
            <w:r w:rsidRPr="003E1E36">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2FE0C384" w14:textId="3866A359" w:rsidR="00E80482" w:rsidRPr="00786FC9" w:rsidRDefault="00E80482"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80482" w:rsidRPr="00273096" w14:paraId="49A5B9AE" w14:textId="77777777" w:rsidTr="00CB4199">
        <w:tc>
          <w:tcPr>
            <w:tcW w:w="461" w:type="dxa"/>
          </w:tcPr>
          <w:p w14:paraId="4A13FC45" w14:textId="549566F2" w:rsidR="00E80482" w:rsidRPr="00273096" w:rsidRDefault="00E80482" w:rsidP="00E8048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C1B2DD" w14:textId="029B350C" w:rsidR="00E80482" w:rsidRPr="00273096" w:rsidRDefault="00E80482" w:rsidP="00E8048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EE741E">
              <w:rPr>
                <w:rFonts w:asciiTheme="minorHAnsi" w:hAnsiTheme="minorHAnsi" w:cstheme="minorHAnsi"/>
                <w:sz w:val="20"/>
                <w:szCs w:val="20"/>
              </w:rPr>
              <w:t>Sistemi Operativi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w:t>
            </w:r>
            <w:proofErr w:type="gramStart"/>
            <w:r w:rsidRPr="00B564D5">
              <w:rPr>
                <w:rFonts w:asciiTheme="minorHAnsi" w:hAnsiTheme="minorHAnsi" w:cstheme="minorHAnsi"/>
                <w:sz w:val="20"/>
                <w:szCs w:val="20"/>
              </w:rPr>
              <w:t xml:space="preserve">Formativo </w:t>
            </w:r>
            <w:r>
              <w:rPr>
                <w:rFonts w:asciiTheme="minorHAnsi" w:hAnsiTheme="minorHAnsi" w:cstheme="minorHAnsi"/>
                <w:sz w:val="20"/>
                <w:szCs w:val="20"/>
              </w:rPr>
              <w:t xml:space="preserve"> </w:t>
            </w:r>
            <w:r w:rsidRPr="00EE741E">
              <w:rPr>
                <w:rFonts w:asciiTheme="minorHAnsi" w:hAnsiTheme="minorHAnsi" w:cstheme="minorHAnsi"/>
                <w:sz w:val="20"/>
                <w:szCs w:val="20"/>
              </w:rPr>
              <w:t>Insurance</w:t>
            </w:r>
            <w:proofErr w:type="gramEnd"/>
            <w:r w:rsidRPr="00EE741E">
              <w:rPr>
                <w:rFonts w:asciiTheme="minorHAnsi" w:hAnsiTheme="minorHAnsi" w:cstheme="minorHAnsi"/>
                <w:sz w:val="20"/>
                <w:szCs w:val="20"/>
              </w:rPr>
              <w:t xml:space="preserve"> Software Developer</w:t>
            </w:r>
          </w:p>
        </w:tc>
        <w:tc>
          <w:tcPr>
            <w:tcW w:w="1288" w:type="dxa"/>
            <w:tcBorders>
              <w:top w:val="single" w:sz="4" w:space="0" w:color="auto"/>
              <w:left w:val="single" w:sz="4" w:space="0" w:color="auto"/>
              <w:bottom w:val="single" w:sz="4" w:space="0" w:color="auto"/>
              <w:right w:val="single" w:sz="4" w:space="0" w:color="auto"/>
            </w:tcBorders>
          </w:tcPr>
          <w:p w14:paraId="50F7B348" w14:textId="174ECCC0" w:rsidR="00E80482" w:rsidRPr="00786FC9" w:rsidRDefault="00E80482"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80482" w:rsidRPr="00273096" w14:paraId="5BEB3F88" w14:textId="77777777" w:rsidTr="00CB4199">
        <w:tc>
          <w:tcPr>
            <w:tcW w:w="461" w:type="dxa"/>
          </w:tcPr>
          <w:p w14:paraId="668A6F05" w14:textId="4511AEDB" w:rsidR="00E80482" w:rsidRPr="00273096" w:rsidRDefault="00E80482" w:rsidP="00E8048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7D1F040" w14:textId="526DCE84" w:rsidR="00E80482" w:rsidRPr="00273096" w:rsidRDefault="00E80482" w:rsidP="00E8048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6C026D">
              <w:rPr>
                <w:rFonts w:asciiTheme="minorHAnsi" w:hAnsiTheme="minorHAnsi" w:cstheme="minorHAnsi"/>
                <w:sz w:val="20"/>
                <w:szCs w:val="20"/>
              </w:rPr>
              <w:t>Linux Server</w:t>
            </w:r>
            <w:r>
              <w:rPr>
                <w:rFonts w:asciiTheme="minorHAnsi" w:hAnsiTheme="minorHAnsi" w:cstheme="minorHAnsi"/>
                <w:sz w:val="20"/>
                <w:szCs w:val="20"/>
              </w:rPr>
              <w:t xml:space="preserve"> - Percorso Formativo Mobile App Developer</w:t>
            </w:r>
          </w:p>
        </w:tc>
        <w:tc>
          <w:tcPr>
            <w:tcW w:w="1288" w:type="dxa"/>
            <w:tcBorders>
              <w:top w:val="single" w:sz="4" w:space="0" w:color="auto"/>
              <w:left w:val="single" w:sz="4" w:space="0" w:color="auto"/>
              <w:bottom w:val="single" w:sz="4" w:space="0" w:color="auto"/>
              <w:right w:val="single" w:sz="4" w:space="0" w:color="auto"/>
            </w:tcBorders>
          </w:tcPr>
          <w:p w14:paraId="7BFAB47E" w14:textId="59987851" w:rsidR="00E80482" w:rsidRPr="00786FC9" w:rsidRDefault="00E80482" w:rsidP="00E8048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E80482">
        <w:rPr>
          <w:rFonts w:eastAsia="Calibri" w:cstheme="minorHAnsi"/>
          <w:color w:val="000000" w:themeColor="text1"/>
          <w:sz w:val="20"/>
          <w:szCs w:val="20"/>
        </w:rPr>
      </w:r>
      <w:r w:rsidR="00E8048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lastRenderedPageBreak/>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E80482">
        <w:rPr>
          <w:rFonts w:eastAsia="Calibri" w:cstheme="minorHAnsi"/>
          <w:color w:val="000000" w:themeColor="text1"/>
          <w:sz w:val="20"/>
          <w:szCs w:val="20"/>
        </w:rPr>
      </w:r>
      <w:r w:rsidR="00E8048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E80482">
        <w:rPr>
          <w:rFonts w:eastAsia="Calibri" w:cstheme="minorHAnsi"/>
          <w:color w:val="000000" w:themeColor="text1"/>
          <w:sz w:val="20"/>
          <w:szCs w:val="20"/>
        </w:rPr>
      </w:r>
      <w:r w:rsidR="00E8048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80482">
        <w:rPr>
          <w:rFonts w:cstheme="minorHAnsi"/>
          <w:sz w:val="20"/>
          <w:szCs w:val="20"/>
        </w:rPr>
      </w:r>
      <w:r w:rsidR="00E8048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80482">
        <w:rPr>
          <w:rFonts w:asciiTheme="minorHAnsi" w:hAnsiTheme="minorHAnsi" w:cstheme="minorHAnsi"/>
          <w:sz w:val="20"/>
          <w:szCs w:val="20"/>
        </w:rPr>
      </w:r>
      <w:r w:rsidR="00E8048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w:t>
            </w:r>
            <w:r w:rsidR="0076348B" w:rsidRPr="00273096">
              <w:rPr>
                <w:rFonts w:asciiTheme="minorHAnsi" w:hAnsiTheme="minorHAnsi" w:cstheme="minorHAnsi"/>
                <w:i/>
                <w:iCs/>
                <w:sz w:val="20"/>
                <w:szCs w:val="20"/>
              </w:rPr>
              <w:lastRenderedPageBreak/>
              <w:t xml:space="preserve">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d) sussistere rilevanti indizi tali da far ritenere che le offerte degli operatori economici siano imputabili ad un unico </w:t>
            </w:r>
            <w:r w:rsidRPr="00273096">
              <w:rPr>
                <w:rFonts w:asciiTheme="minorHAnsi" w:hAnsiTheme="minorHAnsi" w:cstheme="minorHAnsi"/>
                <w:i/>
                <w:iCs/>
                <w:sz w:val="20"/>
                <w:szCs w:val="20"/>
              </w:rPr>
              <w:lastRenderedPageBreak/>
              <w:t>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35238"/>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2C06"/>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2567"/>
    <w:rsid w:val="00B95F19"/>
    <w:rsid w:val="00BA23D9"/>
    <w:rsid w:val="00BA3532"/>
    <w:rsid w:val="00BA5095"/>
    <w:rsid w:val="00BA5514"/>
    <w:rsid w:val="00BB68EB"/>
    <w:rsid w:val="00BC0611"/>
    <w:rsid w:val="00BC0ED9"/>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0482"/>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5986</Words>
  <Characters>34124</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2024-07-31T09:08:00Z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