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000000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000000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000000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000000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68F1FBB6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A96552">
        <w:rPr>
          <w:rFonts w:cstheme="minorHAnsi"/>
          <w:b/>
          <w:bCs/>
          <w:color w:val="000000" w:themeColor="text1"/>
        </w:rPr>
        <w:t>AI DEVELOPMENT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0D7607DE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A96552">
        <w:rPr>
          <w:rFonts w:eastAsia="Calibri" w:cstheme="minorHAnsi"/>
          <w:b/>
          <w:bCs/>
          <w:color w:val="000000" w:themeColor="text1"/>
          <w:sz w:val="22"/>
          <w:szCs w:val="22"/>
        </w:rPr>
        <w:t>8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B4B0C" w14:textId="77777777" w:rsidR="00903A6D" w:rsidRDefault="00903A6D" w:rsidP="000151A3">
      <w:r>
        <w:separator/>
      </w:r>
    </w:p>
  </w:endnote>
  <w:endnote w:type="continuationSeparator" w:id="0">
    <w:p w14:paraId="73242597" w14:textId="77777777" w:rsidR="00903A6D" w:rsidRDefault="00903A6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0231B" w14:textId="77777777" w:rsidR="00903A6D" w:rsidRDefault="00903A6D" w:rsidP="000151A3">
      <w:r>
        <w:separator/>
      </w:r>
    </w:p>
  </w:footnote>
  <w:footnote w:type="continuationSeparator" w:id="0">
    <w:p w14:paraId="5E0C3DD8" w14:textId="77777777" w:rsidR="00903A6D" w:rsidRDefault="00903A6D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3743A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505B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43C28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03A6D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76CEB"/>
    <w:rsid w:val="00A96552"/>
    <w:rsid w:val="00A96B8A"/>
    <w:rsid w:val="00AA1B90"/>
    <w:rsid w:val="00AA6F58"/>
    <w:rsid w:val="00AB2A7E"/>
    <w:rsid w:val="00AB7846"/>
    <w:rsid w:val="00AC36DC"/>
    <w:rsid w:val="00AC554D"/>
    <w:rsid w:val="00AC6310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2C90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Francesco Russo</cp:lastModifiedBy>
  <cp:revision>117</cp:revision>
  <cp:lastPrinted>2023-12-08T10:31:00Z</cp:lastPrinted>
  <dcterms:created xsi:type="dcterms:W3CDTF">2023-11-09T14:29:00Z</dcterms:created>
  <dcterms:modified xsi:type="dcterms:W3CDTF">2024-07-30T10:56:00Z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